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left"/>
      </w:pPr>
      <w:r>
        <w:rPr>
          <w:rFonts w:ascii="Calibri" w:hAnsi="Calibri"/>
          <w:b/>
          <w:color w:val="003366"/>
          <w:sz w:val="52"/>
        </w:rPr>
        <w:t>POOL RESURFACING &amp; REPAIR</w:t>
      </w:r>
    </w:p>
    <w:p>
      <w:pPr>
        <w:spacing w:after="360"/>
      </w:pPr>
      <w:r>
        <w:rPr>
          <w:rFonts w:ascii="Calibri" w:hAnsi="Calibri"/>
          <w:color w:val="555555"/>
          <w:sz w:val="28"/>
        </w:rPr>
        <w:t>Custom Scope of Work (SOW) &amp; Workmanship Standards Template</w:t>
      </w:r>
    </w:p>
    <w:tbl>
      <w:tblPr>
        <w:tblW w:type="auto" w:w="0"/>
        <w:jc w:val="center"/>
        <w:tblLayout w:type="fixed"/>
        <w:tblLook w:firstColumn="1" w:firstRow="1" w:lastColumn="0" w:lastRow="0" w:noHBand="0" w:noVBand="1" w:val="04A0"/>
      </w:tblPr>
      <w:tblGrid>
        <w:gridCol w:w="9360"/>
      </w:tblGrid>
      <w:tr>
        <w:tc>
          <w:tcPr>
            <w:tcW w:type="dxa" w:w="9360"/>
            <w:shd w:fill="F2F4F7" w:val="clear"/>
            <w:tcMar>
              <w:top w:w="144" w:type="dxa"/>
              <w:bottom w:w="144" w:type="dxa"/>
              <w:left w:w="216" w:type="dxa"/>
              <w:right w:w="216" w:type="dxa"/>
            </w:tcMar>
            <w:tcBorders>
              <w:left w:val="single" w:sz="24" w:space="0" w:color="003366"/>
              <w:top w:val="none"/>
              <w:bottom w:val="none"/>
              <w:right w:val="none"/>
            </w:tcBorders>
          </w:tcPr>
          <w:p>
            <w:pPr>
              <w:spacing w:before="0" w:after="0" w:line="276" w:lineRule="auto"/>
            </w:pPr>
            <w:r>
              <w:rPr>
                <w:rFonts w:ascii="Calibri" w:hAnsi="Calibri"/>
                <w:i/>
                <w:color w:val="333333"/>
                <w:sz w:val="21"/>
              </w:rPr>
              <w:t>USER INSTRUCTIONS: Use this template as an official exhibit or addendum to your pool resurfacing contract with local Scottsdale contractors. It establishes strict, binding workmanship tolerances based on the Association of Pool &amp; Spa Professionals (APSP 2013) guidelines and proven post-surfacing chemistry. Complete all bracketed fields [ ] before signing.</w:t>
            </w:r>
          </w:p>
        </w:tc>
      </w:tr>
    </w:tbl>
    <w:p>
      <w:pPr>
        <w:spacing w:after="120"/>
      </w:pPr>
    </w:p>
    <w:p>
      <w:pPr>
        <w:keepNext/>
        <w:spacing w:before="360" w:after="120"/>
        <w:pBdr>
          <w:bottom w:val="single" w:sz="6" w:space="1" w:color="003366"/>
        </w:pBdr>
      </w:pPr>
      <w:r>
        <w:rPr>
          <w:rFonts w:ascii="Calibri" w:hAnsi="Calibri"/>
          <w:b/>
          <w:color w:val="003366"/>
          <w:sz w:val="28"/>
        </w:rPr>
        <w:t>1. Project Parties &amp; Administrative Information</w:t>
      </w:r>
    </w:p>
    <w:p>
      <w:r>
        <w:t>This document constitutes a binding Scope of Work (SOW) agreement for pool resurfacing, tile, coping, and deck repairs between the following parties:</w:t>
      </w:r>
    </w:p>
    <w:tbl>
      <w:tblPr>
        <w:tblW w:type="auto" w:w="0"/>
        <w:jc w:val="center"/>
        <w:tblLayout w:type="fixed"/>
        <w:tblLook w:firstColumn="1" w:firstRow="1" w:lastColumn="0" w:lastRow="0" w:noHBand="0" w:noVBand="1" w:val="04A0"/>
      </w:tblPr>
      <w:tblGrid>
        <w:gridCol w:w="4680"/>
        <w:gridCol w:w="4680"/>
      </w:tblGrid>
      <w:tr>
        <w:tc>
          <w:tcPr>
            <w:tcW w:type="dxa" w:w="3168"/>
            <w:shd w:fill="F2F4F7" w:val="clear"/>
            <w:tcMar>
              <w:top w:w="100" w:type="dxa"/>
              <w:bottom w:w="100" w:type="dxa"/>
              <w:left w:w="150" w:type="dxa"/>
              <w:right w:w="150" w:type="dxa"/>
            </w:tcMar>
          </w:tcPr>
          <w:p>
            <w:pPr>
              <w:spacing w:before="80" w:after="80"/>
            </w:pPr>
            <w:r>
              <w:rPr>
                <w:b/>
                <w:sz w:val="20"/>
              </w:rPr>
              <w:t>Property Owner Name:</w:t>
            </w:r>
          </w:p>
        </w:tc>
        <w:tc>
          <w:tcPr>
            <w:tcW w:type="dxa" w:w="6192"/>
            <w:tcMar>
              <w:top w:w="100" w:type="dxa"/>
              <w:bottom w:w="100" w:type="dxa"/>
              <w:left w:w="150" w:type="dxa"/>
              <w:right w:w="150" w:type="dxa"/>
            </w:tcMar>
          </w:tcPr>
          <w:p>
            <w:pPr>
              <w:spacing w:before="80" w:after="80"/>
            </w:pPr>
            <w:r>
              <w:rPr>
                <w:sz w:val="20"/>
              </w:rPr>
              <w:t>[Insert Property Owner Name]</w:t>
            </w:r>
          </w:p>
        </w:tc>
      </w:tr>
      <w:tr>
        <w:tc>
          <w:tcPr>
            <w:tcW w:type="dxa" w:w="3168"/>
            <w:shd w:fill="F2F4F7" w:val="clear"/>
            <w:tcMar>
              <w:top w:w="100" w:type="dxa"/>
              <w:bottom w:w="100" w:type="dxa"/>
              <w:left w:w="150" w:type="dxa"/>
              <w:right w:w="150" w:type="dxa"/>
            </w:tcMar>
          </w:tcPr>
          <w:p>
            <w:pPr>
              <w:spacing w:before="80" w:after="80"/>
            </w:pPr>
            <w:r>
              <w:rPr>
                <w:b/>
                <w:sz w:val="20"/>
              </w:rPr>
              <w:t>Property Location Address:</w:t>
            </w:r>
          </w:p>
        </w:tc>
        <w:tc>
          <w:tcPr>
            <w:tcW w:type="dxa" w:w="6192"/>
            <w:tcMar>
              <w:top w:w="100" w:type="dxa"/>
              <w:bottom w:w="100" w:type="dxa"/>
              <w:left w:w="150" w:type="dxa"/>
              <w:right w:w="150" w:type="dxa"/>
            </w:tcMar>
          </w:tcPr>
          <w:p>
            <w:pPr>
              <w:spacing w:before="80" w:after="80"/>
            </w:pPr>
            <w:r>
              <w:rPr>
                <w:sz w:val="20"/>
              </w:rPr>
              <w:t>[Insert Scottsdale, AZ Property Address]</w:t>
            </w:r>
          </w:p>
        </w:tc>
      </w:tr>
      <w:tr>
        <w:tc>
          <w:tcPr>
            <w:tcW w:type="dxa" w:w="3168"/>
            <w:shd w:fill="F2F4F7" w:val="clear"/>
            <w:tcMar>
              <w:top w:w="100" w:type="dxa"/>
              <w:bottom w:w="100" w:type="dxa"/>
              <w:left w:w="150" w:type="dxa"/>
              <w:right w:w="150" w:type="dxa"/>
            </w:tcMar>
          </w:tcPr>
          <w:p>
            <w:pPr>
              <w:spacing w:before="80" w:after="80"/>
            </w:pPr>
            <w:r>
              <w:rPr>
                <w:b/>
                <w:sz w:val="20"/>
              </w:rPr>
              <w:t>Contracting Company Name:</w:t>
            </w:r>
          </w:p>
        </w:tc>
        <w:tc>
          <w:tcPr>
            <w:tcW w:type="dxa" w:w="6192"/>
            <w:tcMar>
              <w:top w:w="100" w:type="dxa"/>
              <w:bottom w:w="100" w:type="dxa"/>
              <w:left w:w="150" w:type="dxa"/>
              <w:right w:w="150" w:type="dxa"/>
            </w:tcMar>
          </w:tcPr>
          <w:p>
            <w:pPr>
              <w:spacing w:before="80" w:after="80"/>
            </w:pPr>
            <w:r>
              <w:rPr>
                <w:sz w:val="20"/>
              </w:rPr>
              <w:t>[Insert Contractor Company Name]</w:t>
            </w:r>
          </w:p>
        </w:tc>
      </w:tr>
      <w:tr>
        <w:tc>
          <w:tcPr>
            <w:tcW w:type="dxa" w:w="3168"/>
            <w:shd w:fill="F2F4F7" w:val="clear"/>
            <w:tcMar>
              <w:top w:w="100" w:type="dxa"/>
              <w:bottom w:w="100" w:type="dxa"/>
              <w:left w:w="150" w:type="dxa"/>
              <w:right w:w="150" w:type="dxa"/>
            </w:tcMar>
          </w:tcPr>
          <w:p>
            <w:pPr>
              <w:spacing w:before="80" w:after="80"/>
            </w:pPr>
            <w:r>
              <w:rPr>
                <w:b/>
                <w:sz w:val="20"/>
              </w:rPr>
              <w:t>AZ Registrar of Contractors (ROC) License #:</w:t>
            </w:r>
          </w:p>
        </w:tc>
        <w:tc>
          <w:tcPr>
            <w:tcW w:type="dxa" w:w="6192"/>
            <w:tcMar>
              <w:top w:w="100" w:type="dxa"/>
              <w:bottom w:w="100" w:type="dxa"/>
              <w:left w:w="150" w:type="dxa"/>
              <w:right w:w="150" w:type="dxa"/>
            </w:tcMar>
          </w:tcPr>
          <w:p>
            <w:pPr>
              <w:spacing w:before="80" w:after="80"/>
            </w:pPr>
            <w:r>
              <w:rPr>
                <w:sz w:val="20"/>
              </w:rPr>
              <w:t>[Insert AZ License #, e.g., R-53 or equivalent]</w:t>
            </w:r>
          </w:p>
        </w:tc>
      </w:tr>
      <w:tr>
        <w:tc>
          <w:tcPr>
            <w:tcW w:type="dxa" w:w="3168"/>
            <w:shd w:fill="F2F4F7" w:val="clear"/>
            <w:tcMar>
              <w:top w:w="100" w:type="dxa"/>
              <w:bottom w:w="100" w:type="dxa"/>
              <w:left w:w="150" w:type="dxa"/>
              <w:right w:w="150" w:type="dxa"/>
            </w:tcMar>
          </w:tcPr>
          <w:p>
            <w:pPr>
              <w:spacing w:before="80" w:after="80"/>
            </w:pPr>
            <w:r>
              <w:rPr>
                <w:b/>
                <w:sz w:val="20"/>
              </w:rPr>
              <w:t>Commercial Liability Insurance Carrier:</w:t>
            </w:r>
          </w:p>
        </w:tc>
        <w:tc>
          <w:tcPr>
            <w:tcW w:type="dxa" w:w="6192"/>
            <w:tcMar>
              <w:top w:w="100" w:type="dxa"/>
              <w:bottom w:w="100" w:type="dxa"/>
              <w:left w:w="150" w:type="dxa"/>
              <w:right w:w="150" w:type="dxa"/>
            </w:tcMar>
          </w:tcPr>
          <w:p>
            <w:pPr>
              <w:spacing w:before="80" w:after="80"/>
            </w:pPr>
            <w:r>
              <w:rPr>
                <w:sz w:val="20"/>
              </w:rPr>
              <w:t>[Insert Carrier Name &amp; Policy Number - Min $1,000,000 Liability]</w:t>
            </w:r>
          </w:p>
        </w:tc>
      </w:tr>
      <w:tr>
        <w:tc>
          <w:tcPr>
            <w:tcW w:type="dxa" w:w="3168"/>
            <w:shd w:fill="F2F4F7" w:val="clear"/>
            <w:tcMar>
              <w:top w:w="100" w:type="dxa"/>
              <w:bottom w:w="100" w:type="dxa"/>
              <w:left w:w="150" w:type="dxa"/>
              <w:right w:w="150" w:type="dxa"/>
            </w:tcMar>
          </w:tcPr>
          <w:p>
            <w:pPr>
              <w:spacing w:before="80" w:after="80"/>
            </w:pPr>
            <w:r>
              <w:rPr>
                <w:b/>
                <w:sz w:val="20"/>
              </w:rPr>
              <w:t>Projected Start &amp; Completion Dates:</w:t>
            </w:r>
          </w:p>
        </w:tc>
        <w:tc>
          <w:tcPr>
            <w:tcW w:type="dxa" w:w="6192"/>
            <w:tcMar>
              <w:top w:w="100" w:type="dxa"/>
              <w:bottom w:w="100" w:type="dxa"/>
              <w:left w:w="150" w:type="dxa"/>
              <w:right w:w="150" w:type="dxa"/>
            </w:tcMar>
          </w:tcPr>
          <w:p>
            <w:pPr>
              <w:spacing w:before="80" w:after="80"/>
            </w:pPr>
            <w:r>
              <w:rPr>
                <w:sz w:val="20"/>
              </w:rPr>
              <w:t>Start: [Insert Date]  |  Substantial Completion: [Insert Date]</w:t>
            </w:r>
          </w:p>
        </w:tc>
      </w:tr>
    </w:tbl>
    <w:p>
      <w:pPr>
        <w:spacing w:after="120"/>
      </w:pPr>
    </w:p>
    <w:p>
      <w:pPr>
        <w:keepNext/>
        <w:spacing w:before="360" w:after="120"/>
        <w:pBdr>
          <w:bottom w:val="single" w:sz="6" w:space="1" w:color="003366"/>
        </w:pBdr>
      </w:pPr>
      <w:r>
        <w:rPr>
          <w:rFonts w:ascii="Calibri" w:hAnsi="Calibri"/>
          <w:b/>
          <w:color w:val="003366"/>
          <w:sz w:val="28"/>
        </w:rPr>
        <w:t>2. Chosen Pool Finish Material &amp; Surface Standards</w:t>
      </w:r>
    </w:p>
    <w:p>
      <w:r>
        <w:t xml:space="preserve">The contractor shall perform complete surface preparation and apply the selected pool finish according to the specifications below. </w:t>
      </w:r>
    </w:p>
    <w:tbl>
      <w:tblPr>
        <w:tblW w:type="auto" w:w="0"/>
        <w:jc w:val="center"/>
        <w:tblLayout w:type="fixed"/>
        <w:tblLook w:firstColumn="1" w:firstRow="1" w:lastColumn="0" w:lastRow="0" w:noHBand="0" w:noVBand="1" w:val="04A0"/>
      </w:tblPr>
      <w:tblGrid>
        <w:gridCol w:w="3120"/>
        <w:gridCol w:w="3120"/>
        <w:gridCol w:w="3120"/>
      </w:tblGrid>
      <w:tr>
        <w:tc>
          <w:tcPr>
            <w:tcW w:type="dxa" w:w="1440"/>
            <w:shd w:fill="003366" w:val="clear"/>
            <w:tcMar>
              <w:top w:w="100" w:type="dxa"/>
              <w:bottom w:w="100" w:type="dxa"/>
              <w:left w:w="150" w:type="dxa"/>
              <w:right w:w="150" w:type="dxa"/>
            </w:tcMar>
          </w:tcPr>
          <w:p>
            <w:pPr>
              <w:jc w:val="left"/>
            </w:pPr>
            <w:r>
              <w:rPr>
                <w:b/>
                <w:color w:val="FFFFFF"/>
                <w:sz w:val="20"/>
              </w:rPr>
              <w:t>Select [ X ]</w:t>
            </w:r>
          </w:p>
        </w:tc>
        <w:tc>
          <w:tcPr>
            <w:tcW w:type="dxa" w:w="2592"/>
            <w:shd w:fill="003366" w:val="clear"/>
            <w:tcMar>
              <w:top w:w="100" w:type="dxa"/>
              <w:bottom w:w="100" w:type="dxa"/>
              <w:left w:w="150" w:type="dxa"/>
              <w:right w:w="150" w:type="dxa"/>
            </w:tcMar>
          </w:tcPr>
          <w:p>
            <w:pPr>
              <w:jc w:val="left"/>
            </w:pPr>
            <w:r>
              <w:rPr>
                <w:b/>
                <w:color w:val="FFFFFF"/>
                <w:sz w:val="20"/>
              </w:rPr>
              <w:t>Finish Option</w:t>
            </w:r>
          </w:p>
        </w:tc>
        <w:tc>
          <w:tcPr>
            <w:tcW w:type="dxa" w:w="5328"/>
            <w:shd w:fill="003366" w:val="clear"/>
            <w:tcMar>
              <w:top w:w="100" w:type="dxa"/>
              <w:bottom w:w="100" w:type="dxa"/>
              <w:left w:w="150" w:type="dxa"/>
              <w:right w:w="150" w:type="dxa"/>
            </w:tcMar>
          </w:tcPr>
          <w:p>
            <w:pPr>
              <w:jc w:val="left"/>
            </w:pPr>
            <w:r>
              <w:rPr>
                <w:b/>
                <w:color w:val="FFFFFF"/>
                <w:sz w:val="20"/>
              </w:rPr>
              <w:t>APSP Lifespan &amp; Performance Expectations</w:t>
            </w:r>
          </w:p>
        </w:tc>
      </w:tr>
      <w:tr>
        <w:tc>
          <w:tcPr>
            <w:tcW w:type="dxa" w:w="1440"/>
            <w:tcMar>
              <w:top w:w="100" w:type="dxa"/>
              <w:bottom w:w="100" w:type="dxa"/>
              <w:left w:w="150" w:type="dxa"/>
              <w:right w:w="150" w:type="dxa"/>
            </w:tcMar>
          </w:tcPr>
          <w:p>
            <w:pPr>
              <w:spacing w:before="80" w:after="80"/>
            </w:pPr>
            <w:r>
              <w:rPr>
                <w:sz w:val="19"/>
              </w:rPr>
              <w:t>[   ]</w:t>
            </w:r>
          </w:p>
        </w:tc>
        <w:tc>
          <w:tcPr>
            <w:tcW w:type="dxa" w:w="2592"/>
            <w:tcMar>
              <w:top w:w="100" w:type="dxa"/>
              <w:bottom w:w="100" w:type="dxa"/>
              <w:left w:w="150" w:type="dxa"/>
              <w:right w:w="150" w:type="dxa"/>
            </w:tcMar>
          </w:tcPr>
          <w:p>
            <w:pPr>
              <w:spacing w:before="80" w:after="80"/>
            </w:pPr>
            <w:r>
              <w:rPr>
                <w:b/>
                <w:sz w:val="19"/>
              </w:rPr>
              <w:t>Traditional Marcite</w:t>
            </w:r>
          </w:p>
        </w:tc>
        <w:tc>
          <w:tcPr>
            <w:tcW w:type="dxa" w:w="5328"/>
            <w:tcMar>
              <w:top w:w="100" w:type="dxa"/>
              <w:bottom w:w="100" w:type="dxa"/>
              <w:left w:w="150" w:type="dxa"/>
              <w:right w:w="150" w:type="dxa"/>
            </w:tcMar>
          </w:tcPr>
          <w:p>
            <w:pPr>
              <w:spacing w:before="80" w:after="80"/>
            </w:pPr>
            <w:r>
              <w:rPr>
                <w:sz w:val="19"/>
              </w:rPr>
              <w:t>Traditional white plaster. Expected lifespan of 5-8 years under Florida sun and chemical exposure. Classic look, highly affordable option.</w:t>
            </w:r>
          </w:p>
        </w:tc>
      </w:tr>
      <w:tr>
        <w:tc>
          <w:tcPr>
            <w:tcW w:type="dxa" w:w="1440"/>
            <w:tcMar>
              <w:top w:w="100" w:type="dxa"/>
              <w:bottom w:w="100" w:type="dxa"/>
              <w:left w:w="150" w:type="dxa"/>
              <w:right w:w="150" w:type="dxa"/>
            </w:tcMar>
          </w:tcPr>
          <w:p>
            <w:pPr>
              <w:spacing w:before="80" w:after="80"/>
            </w:pPr>
            <w:r>
              <w:rPr>
                <w:sz w:val="19"/>
              </w:rPr>
              <w:t>[   ]</w:t>
            </w:r>
          </w:p>
        </w:tc>
        <w:tc>
          <w:tcPr>
            <w:tcW w:type="dxa" w:w="2592"/>
            <w:tcMar>
              <w:top w:w="100" w:type="dxa"/>
              <w:bottom w:w="100" w:type="dxa"/>
              <w:left w:w="150" w:type="dxa"/>
              <w:right w:w="150" w:type="dxa"/>
            </w:tcMar>
          </w:tcPr>
          <w:p>
            <w:pPr>
              <w:spacing w:before="80" w:after="80"/>
            </w:pPr>
            <w:r>
              <w:rPr>
                <w:b/>
                <w:sz w:val="19"/>
              </w:rPr>
              <w:t>Premium Quartz Finish</w:t>
            </w:r>
          </w:p>
        </w:tc>
        <w:tc>
          <w:tcPr>
            <w:tcW w:type="dxa" w:w="5328"/>
            <w:tcMar>
              <w:top w:w="100" w:type="dxa"/>
              <w:bottom w:w="100" w:type="dxa"/>
              <w:left w:w="150" w:type="dxa"/>
              <w:right w:w="150" w:type="dxa"/>
            </w:tcMar>
          </w:tcPr>
          <w:p>
            <w:pPr>
              <w:spacing w:before="80" w:after="80"/>
            </w:pPr>
            <w:r>
              <w:rPr>
                <w:sz w:val="19"/>
              </w:rPr>
              <w:t>Quartz-aggregate pool finish. Smoother texture than pebble but significantly more durable than traditional marcite plaster.</w:t>
            </w:r>
          </w:p>
        </w:tc>
      </w:tr>
      <w:tr>
        <w:tc>
          <w:tcPr>
            <w:tcW w:type="dxa" w:w="1440"/>
            <w:tcMar>
              <w:top w:w="100" w:type="dxa"/>
              <w:bottom w:w="100" w:type="dxa"/>
              <w:left w:w="150" w:type="dxa"/>
              <w:right w:w="150" w:type="dxa"/>
            </w:tcMar>
          </w:tcPr>
          <w:p>
            <w:pPr>
              <w:spacing w:before="80" w:after="80"/>
            </w:pPr>
            <w:r>
              <w:rPr>
                <w:sz w:val="19"/>
              </w:rPr>
              <w:t>[   ]</w:t>
            </w:r>
          </w:p>
        </w:tc>
        <w:tc>
          <w:tcPr>
            <w:tcW w:type="dxa" w:w="2592"/>
            <w:tcMar>
              <w:top w:w="100" w:type="dxa"/>
              <w:bottom w:w="100" w:type="dxa"/>
              <w:left w:w="150" w:type="dxa"/>
              <w:right w:w="150" w:type="dxa"/>
            </w:tcMar>
          </w:tcPr>
          <w:p>
            <w:pPr>
              <w:spacing w:before="80" w:after="80"/>
            </w:pPr>
            <w:r>
              <w:rPr>
                <w:b/>
                <w:sz w:val="19"/>
              </w:rPr>
              <w:t>Premium Pebble Finish</w:t>
            </w:r>
          </w:p>
        </w:tc>
        <w:tc>
          <w:tcPr>
            <w:tcW w:type="dxa" w:w="5328"/>
            <w:tcMar>
              <w:top w:w="100" w:type="dxa"/>
              <w:bottom w:w="100" w:type="dxa"/>
              <w:left w:w="150" w:type="dxa"/>
              <w:right w:w="150" w:type="dxa"/>
            </w:tcMar>
          </w:tcPr>
          <w:p>
            <w:pPr>
              <w:spacing w:before="80" w:after="80"/>
            </w:pPr>
            <w:r>
              <w:rPr>
                <w:sz w:val="19"/>
              </w:rPr>
              <w:t>Premium aggregate finish (e.g., Pebble Tec). Expected lifespan of 15-20 years in Florida. Highly resistant to sunlight, acid washing, and chemical wear.</w:t>
            </w:r>
          </w:p>
        </w:tc>
      </w:tr>
    </w:tbl>
    <w:p>
      <w:pPr>
        <w:spacing w:after="120"/>
      </w:pPr>
    </w:p>
    <w:p>
      <w:pPr>
        <w:keepNext/>
        <w:spacing w:before="240" w:after="80"/>
      </w:pPr>
      <w:r>
        <w:rPr>
          <w:rFonts w:ascii="Calibri" w:hAnsi="Calibri"/>
          <w:b/>
          <w:color w:val="555555"/>
          <w:sz w:val="24"/>
        </w:rPr>
        <w:t>Contractor Workmanship Standards for Interior Plaster Finish:</w:t>
      </w:r>
    </w:p>
    <w:p>
      <w:pPr>
        <w:pStyle w:val="ListBullet"/>
        <w:spacing w:after="80"/>
      </w:pPr>
      <w:r>
        <w:rPr>
          <w:b/>
        </w:rPr>
        <w:t xml:space="preserve">Substrate Soundness &amp; Pre-Inspection: </w:t>
      </w:r>
      <w:r>
        <w:t>Prior to plaster application, the contractor must inspect the concrete shell (substrate) for hollow spots, active water leaks/weepers, and impurities. All gunite rebound must be fully removed and never covered over.</w:t>
      </w:r>
    </w:p>
    <w:p>
      <w:pPr>
        <w:pStyle w:val="ListBullet"/>
        <w:spacing w:after="80"/>
      </w:pPr>
      <w:r>
        <w:rPr>
          <w:b/>
        </w:rPr>
        <w:t xml:space="preserve">Plaster Mix Ratio: </w:t>
      </w:r>
      <w:r>
        <w:t>The job-site plaster mix or pre-blended manufacturer's material must strictly maintain a ratio of 1 part Type 1 Portland cement to 2 parts aggregate by weight. Admixtures shall not exceed manufacturer limits.</w:t>
      </w:r>
    </w:p>
    <w:p>
      <w:pPr>
        <w:pStyle w:val="ListBullet"/>
        <w:spacing w:after="80"/>
      </w:pPr>
      <w:r>
        <w:rPr>
          <w:b/>
        </w:rPr>
        <w:t xml:space="preserve">Calcium Chloride Limit: </w:t>
      </w:r>
      <w:r>
        <w:t>Calcium chloride must never exceed 2% of the weight of the cement. It must be fully dissolved in water and added to the mixer before cement is added.</w:t>
      </w:r>
    </w:p>
    <w:p>
      <w:pPr>
        <w:pStyle w:val="ListBullet"/>
        <w:spacing w:after="80"/>
      </w:pPr>
      <w:r>
        <w:rPr>
          <w:b/>
        </w:rPr>
        <w:t xml:space="preserve">Thickness &amp; Coverage: </w:t>
      </w:r>
      <w:r>
        <w:t>The plaster layer must be sufficiently thick to completely cover the underlying concrete shell. If the concrete shell is wavy and plaster is troweled level, the peaks must not show through. Concrete show-through is a contractor deficiency to be patched/corrected.</w:t>
      </w:r>
    </w:p>
    <w:p>
      <w:pPr>
        <w:pStyle w:val="ListBullet"/>
        <w:spacing w:after="80"/>
      </w:pPr>
      <w:r>
        <w:rPr>
          <w:b/>
        </w:rPr>
        <w:t xml:space="preserve">Surface Smoothness: </w:t>
      </w:r>
      <w:r>
        <w:t>The plaster must be hand-troweled to a smooth finish, defined as having a texture no rougher than very fine, 220-grit sandpaper, ensuring it is highly maintainable and does not encourage algae adherence.</w:t>
      </w:r>
    </w:p>
    <w:p>
      <w:pPr>
        <w:pStyle w:val="ListBullet"/>
        <w:spacing w:after="80"/>
      </w:pPr>
      <w:r>
        <w:rPr>
          <w:b/>
        </w:rPr>
        <w:t xml:space="preserve">Trowel Burn &amp; Weather Restrictions: </w:t>
      </w:r>
      <w:r>
        <w:t>Minor shade variations from hand-troweling (trowel burns) are normal, but excessive burns must be buffed or lightly sanded. Plastering must occur only during reasonable weather; checking, washouts, or rain damage are contractor responsibilities to repair.</w:t>
      </w:r>
    </w:p>
    <w:p>
      <w:pPr>
        <w:pStyle w:val="ListBullet"/>
        <w:spacing w:after="80"/>
      </w:pPr>
      <w:r>
        <w:rPr>
          <w:b/>
        </w:rPr>
        <w:t xml:space="preserve">Nighttime Illumination Acknowledgement: </w:t>
      </w:r>
      <w:r>
        <w:t>Because plaster is hand-applied, slight variations and waves will occur and are magnified by water under nighttime pool lights. Variations visible only under nighttime illumination shall not be considered poor workmanship; evaluations must be made under normal daylight conditions.</w:t>
      </w:r>
    </w:p>
    <w:p>
      <w:pPr>
        <w:keepNext/>
        <w:spacing w:before="360" w:after="120"/>
        <w:pBdr>
          <w:bottom w:val="single" w:sz="6" w:space="1" w:color="003366"/>
        </w:pBdr>
      </w:pPr>
      <w:r>
        <w:rPr>
          <w:rFonts w:ascii="Calibri" w:hAnsi="Calibri"/>
          <w:b/>
          <w:color w:val="003366"/>
          <w:sz w:val="28"/>
        </w:rPr>
        <w:t>3. Waterline Tile &amp; Grout Specifications</w:t>
      </w:r>
    </w:p>
    <w:p>
      <w:r>
        <w:t>Where tile replacement is contracted, the contractor shall adhere to the following tolerances based on APSP 2013 standards:</w:t>
      </w:r>
    </w:p>
    <w:p>
      <w:pPr>
        <w:pStyle w:val="ListBullet"/>
        <w:spacing w:after="80"/>
      </w:pPr>
      <w:r>
        <w:rPr>
          <w:b/>
        </w:rPr>
        <w:t xml:space="preserve">Waterline Leveling: </w:t>
      </w:r>
      <w:r>
        <w:t>Waterline tile must be installed level with a strict tolerance of ±1/4 inch (6 mm) around the pool perimeter.</w:t>
      </w:r>
    </w:p>
    <w:p>
      <w:pPr>
        <w:pStyle w:val="ListBullet"/>
        <w:spacing w:after="80"/>
      </w:pPr>
      <w:r>
        <w:rPr>
          <w:b/>
        </w:rPr>
        <w:t xml:space="preserve">Tile Joint Alignment: </w:t>
      </w:r>
      <w:r>
        <w:t>All tile joints must be straight, level, and plumb. Uneven mosaic or netting-pre-set tile joint variances must not be visible from a distance of more than 10 feet (3 m) away when viewed straight on.</w:t>
      </w:r>
    </w:p>
    <w:p>
      <w:pPr>
        <w:pStyle w:val="ListBullet"/>
        <w:spacing w:after="80"/>
      </w:pPr>
      <w:r>
        <w:rPr>
          <w:b/>
        </w:rPr>
        <w:t xml:space="preserve">Grout Bond &amp; Shrinkage: </w:t>
      </w:r>
      <w:r>
        <w:t>Grout must provide a solid, watertight bond around the tile. While hairline shrinkage cracks are normal, loose, flaking, or missing grout must be replaced or filled by the contractor one time at no charge.</w:t>
      </w:r>
    </w:p>
    <w:p>
      <w:pPr>
        <w:pStyle w:val="ListBullet"/>
        <w:spacing w:after="80"/>
      </w:pPr>
      <w:r>
        <w:rPr>
          <w:b/>
        </w:rPr>
        <w:t xml:space="preserve">Water Intrusion &amp; Soil Shifting: </w:t>
      </w:r>
      <w:r>
        <w:t>The owner is responsible for maintaining positive yard drainage away from the pool shell. Water intrusion under surrounding decks can cause soil expansion and shifting, leading to cracked grout and loose tile, which is excluded from contractor liability.</w:t>
      </w:r>
    </w:p>
    <w:p>
      <w:pPr>
        <w:pStyle w:val="ListBullet"/>
        <w:spacing w:after="80"/>
      </w:pPr>
      <w:r>
        <w:rPr>
          <w:b/>
        </w:rPr>
        <w:t xml:space="preserve">Tile Selection &amp; Frost-Proof Warranties: </w:t>
      </w:r>
      <w:r>
        <w:t>In freezing-prone areas, frost-proof tile must be selected. If non-frost-proof tile is explicitly requested by the owner, the contractor is released from freeze-damage warranty claims.</w:t>
      </w:r>
    </w:p>
    <w:p>
      <w:pPr>
        <w:keepNext/>
        <w:spacing w:before="360" w:after="120"/>
        <w:pBdr>
          <w:bottom w:val="single" w:sz="6" w:space="1" w:color="003366"/>
        </w:pBdr>
      </w:pPr>
      <w:r>
        <w:rPr>
          <w:rFonts w:ascii="Calibri" w:hAnsi="Calibri"/>
          <w:b/>
          <w:color w:val="003366"/>
          <w:sz w:val="28"/>
        </w:rPr>
        <w:t>4. Coping Specifications</w:t>
      </w:r>
    </w:p>
    <w:p>
      <w:r>
        <w:t>Coping stones, bricks, or natural rocks forming the cap of the pool wall perimeter must meet these parameters:</w:t>
      </w:r>
    </w:p>
    <w:p>
      <w:pPr>
        <w:pStyle w:val="ListBullet"/>
        <w:spacing w:after="80"/>
      </w:pPr>
      <w:r>
        <w:rPr>
          <w:b/>
        </w:rPr>
        <w:t xml:space="preserve">Level Tolerance: </w:t>
      </w:r>
      <w:r>
        <w:t>Coping must be installed level within a tolerance of ±1/4 inch (6 mm) around the pool perimeter.</w:t>
      </w:r>
    </w:p>
    <w:p>
      <w:pPr>
        <w:pStyle w:val="ListBullet"/>
        <w:spacing w:after="80"/>
      </w:pPr>
      <w:r>
        <w:rPr>
          <w:b/>
        </w:rPr>
        <w:t xml:space="preserve">Corner Uniformity: </w:t>
      </w:r>
      <w:r>
        <w:t>Brick or stone coping corners must have clean, uniform cuts and be congruent to each other within a joint tolerance of ±1/8 inch (3 mm) on either side.</w:t>
      </w:r>
    </w:p>
    <w:p>
      <w:pPr>
        <w:pStyle w:val="ListBullet"/>
        <w:spacing w:after="80"/>
      </w:pPr>
      <w:r>
        <w:rPr>
          <w:b/>
        </w:rPr>
        <w:t xml:space="preserve">Drainage Slope: </w:t>
      </w:r>
      <w:r>
        <w:t>Coping must be sloped away from the pool with a minimum slope of 1/8 inch per foot (10 mm per m) to prevent standing water.</w:t>
      </w:r>
    </w:p>
    <w:p>
      <w:pPr>
        <w:pStyle w:val="ListBullet"/>
        <w:spacing w:after="80"/>
      </w:pPr>
      <w:r>
        <w:rPr>
          <w:b/>
        </w:rPr>
        <w:t xml:space="preserve">Grout Joint Congruency: </w:t>
      </w:r>
      <w:r>
        <w:t>Manufactured stone or brick grout joints must be uniform in depth and width within a tolerance of ±1/16 inch (2 mm). Minor variations are acceptable for natural stone or radius curves.</w:t>
      </w:r>
    </w:p>
    <w:p>
      <w:pPr>
        <w:pStyle w:val="ListBullet"/>
        <w:spacing w:after="80"/>
      </w:pPr>
      <w:r>
        <w:rPr>
          <w:b/>
        </w:rPr>
        <w:t xml:space="preserve">Surface and Edge Safety: </w:t>
      </w:r>
      <w:r>
        <w:t>Coping must provide a slip-resistant surface. Chipped coping sections with chips larger than 3/8 inch (10 mm) must be repaired or replaced by the contractor. Sharp edges must be power-sanded, ground, or buffed.</w:t>
      </w:r>
    </w:p>
    <w:p>
      <w:pPr>
        <w:keepNext/>
        <w:spacing w:before="360" w:after="120"/>
        <w:pBdr>
          <w:bottom w:val="single" w:sz="6" w:space="1" w:color="003366"/>
        </w:pBdr>
      </w:pPr>
      <w:r>
        <w:rPr>
          <w:rFonts w:ascii="Calibri" w:hAnsi="Calibri"/>
          <w:b/>
          <w:color w:val="003366"/>
          <w:sz w:val="28"/>
        </w:rPr>
        <w:t>5. Concrete Decking &amp; Drainage Specifications</w:t>
      </w:r>
    </w:p>
    <w:p>
      <w:r>
        <w:t>Concrete pool decks, toppings, and deck drains installed under this scope must satisfy these functional requirements:</w:t>
      </w:r>
    </w:p>
    <w:p>
      <w:pPr>
        <w:pStyle w:val="ListBullet"/>
        <w:spacing w:after="80"/>
      </w:pPr>
      <w:r>
        <w:rPr>
          <w:b/>
        </w:rPr>
        <w:t xml:space="preserve">Standing Water Limit: </w:t>
      </w:r>
      <w:r>
        <w:t>Decks must be sloped to ensure that standing water is no deeper than 1/8 inch (3 mm) after 20 minutes from when water stopped being added. (This depth can be measured by placing two stacked U.S. quarters; water must not flow over them).</w:t>
      </w:r>
    </w:p>
    <w:p>
      <w:pPr>
        <w:pStyle w:val="ListBullet"/>
        <w:spacing w:after="80"/>
      </w:pPr>
      <w:r>
        <w:rPr>
          <w:b/>
        </w:rPr>
        <w:t xml:space="preserve">Crack Separations: </w:t>
      </w:r>
      <w:r>
        <w:t>Minor shrinkage or temperature cracks are normal. However, horizontal or vertical crack separations at designed joint locations must not exceed 1/16 inch (2 mm). Vertical joint steps must not exceed 1/4 inch (6 mm). Excess vertical steps must be ground flat, and excess horizontal gaps sealed with polysulfide sealant.</w:t>
      </w:r>
    </w:p>
    <w:p>
      <w:pPr>
        <w:pStyle w:val="ListBullet"/>
        <w:spacing w:after="80"/>
      </w:pPr>
      <w:r>
        <w:rPr>
          <w:b/>
        </w:rPr>
        <w:t xml:space="preserve">Visual Consistency &amp; Spalling: </w:t>
      </w:r>
      <w:r>
        <w:t>Deck finishes, colors, and toppings must be visually consistent. Spalling (surface peeling or flaking) due to improper finishing or bad design mix must be repaired or replaced by the contractor.</w:t>
      </w:r>
    </w:p>
    <w:p>
      <w:pPr>
        <w:pStyle w:val="ListBullet"/>
        <w:spacing w:after="80"/>
      </w:pPr>
      <w:r>
        <w:rPr>
          <w:b/>
        </w:rPr>
        <w:t xml:space="preserve">Sub-Base &amp; Drainage Integrity: </w:t>
      </w:r>
      <w:r>
        <w:t>The deck must be laid over a properly prepared sub-base. The owner must maintain equal soil moisture and prevent heavy water intrusion under the deck from irrigation, overflow, or landscaping, as water logging can lift or settle the concrete.</w:t>
      </w:r>
    </w:p>
    <w:p>
      <w:pPr>
        <w:pStyle w:val="ListBullet"/>
        <w:spacing w:after="80"/>
      </w:pPr>
      <w:r>
        <w:rPr>
          <w:b/>
        </w:rPr>
        <w:t xml:space="preserve">Steps and Risers: </w:t>
      </w:r>
      <w:r>
        <w:t>All steps and risers within the decking must have consistent riser heights, be level, and slope slightly for proper drainage, in compliance with standard codes.</w:t>
      </w:r>
    </w:p>
    <w:p>
      <w:pPr>
        <w:keepNext/>
        <w:spacing w:before="360" w:after="120"/>
        <w:pBdr>
          <w:bottom w:val="single" w:sz="6" w:space="1" w:color="003366"/>
        </w:pBdr>
      </w:pPr>
      <w:r>
        <w:rPr>
          <w:rFonts w:ascii="Calibri" w:hAnsi="Calibri"/>
          <w:b/>
          <w:color w:val="003366"/>
          <w:sz w:val="28"/>
        </w:rPr>
        <w:t>6. Watertightness &amp; Leak Testing</w:t>
      </w:r>
    </w:p>
    <w:p>
      <w:r>
        <w:t>The pool structure must be engineered to withstand anticipated loads and remain completely watertight:</w:t>
      </w:r>
    </w:p>
    <w:p>
      <w:pPr>
        <w:pStyle w:val="ListBullet"/>
        <w:spacing w:after="80"/>
      </w:pPr>
      <w:r>
        <w:rPr>
          <w:b/>
        </w:rPr>
        <w:t xml:space="preserve">The 1/4-Inch Daily Limit: </w:t>
      </w:r>
      <w:r>
        <w:t>A standard watertight inground concrete pool shell must not lose more than 1/4 inch (6 mm) of water per day.</w:t>
      </w:r>
    </w:p>
    <w:p>
      <w:pPr>
        <w:pStyle w:val="ListBullet"/>
        <w:spacing w:after="80"/>
      </w:pPr>
      <w:r>
        <w:rPr>
          <w:b/>
        </w:rPr>
        <w:t xml:space="preserve">Environmental Exclusions: </w:t>
      </w:r>
      <w:r>
        <w:t>Water loss exceeding 1/4 inch per day is considered normal if environmental or usage factors are present, including high winds, active heating, heavy pool usage, or active waterfalls, deck jets, and water features.</w:t>
      </w:r>
    </w:p>
    <w:p>
      <w:pPr>
        <w:pStyle w:val="ListBullet"/>
        <w:spacing w:after="80"/>
      </w:pPr>
      <w:r>
        <w:rPr>
          <w:b/>
        </w:rPr>
        <w:t xml:space="preserve">Bucket Test Verification: </w:t>
      </w:r>
      <w:r>
        <w:t>To verify an active leak, the 24-hour Bucket Test (Pool &amp; Hot Tub Council of Canada G-0716 Guidelines) shall be performed. Auto-fill systems must be shut off. A bucket is filled 3/4 full and placed in the pool water. Starting levels are marked inside and outside. If after 24 hours the pool's level dropped more than the bucket's, water loss is confirmed and the contractor is responsible for locating and repairing leaks in their scope of work.</w:t>
      </w:r>
    </w:p>
    <w:p>
      <w:pPr>
        <w:keepNext/>
        <w:spacing w:before="360" w:after="120"/>
        <w:pBdr>
          <w:bottom w:val="single" w:sz="6" w:space="1" w:color="003366"/>
        </w:pBdr>
      </w:pPr>
      <w:r>
        <w:rPr>
          <w:rFonts w:ascii="Calibri" w:hAnsi="Calibri"/>
          <w:b/>
          <w:color w:val="003366"/>
          <w:sz w:val="28"/>
        </w:rPr>
        <w:t>7. Filling, Post-Resurfacing Startup, &amp; Water Chemistry</w:t>
      </w:r>
    </w:p>
    <w:p>
      <w:r>
        <w:t>The first 30 days of curing are critical to the lifespan of the plaster. Both parties agree to split startup responsibilities exactly as outlined below:</w:t>
      </w:r>
    </w:p>
    <w:p>
      <w:pPr>
        <w:keepNext/>
        <w:spacing w:before="240" w:after="80"/>
      </w:pPr>
      <w:r>
        <w:rPr>
          <w:rFonts w:ascii="Calibri" w:hAnsi="Calibri"/>
          <w:b/>
          <w:color w:val="555555"/>
          <w:sz w:val="24"/>
        </w:rPr>
        <w:t>Filling Phase (Contractor or Designated Operator):</w:t>
      </w:r>
    </w:p>
    <w:p>
      <w:pPr>
        <w:pStyle w:val="ListBullet2"/>
        <w:spacing w:after="80"/>
      </w:pPr>
      <w:r>
        <w:rPr>
          <w:b/>
        </w:rPr>
        <w:t xml:space="preserve">Continuous Water Fill: </w:t>
      </w:r>
      <w:r>
        <w:t>Once water filling begins, the flow must not be turned off or interrupted until the water reaches the middle of the tile line or skimmer mouth. Turning off the water mid-fill causes a permanent, irreparable 'bathtub-ring' stain.</w:t>
      </w:r>
    </w:p>
    <w:p>
      <w:pPr>
        <w:pStyle w:val="ListBullet2"/>
        <w:spacing w:after="80"/>
      </w:pPr>
      <w:r>
        <w:rPr>
          <w:b/>
        </w:rPr>
        <w:t xml:space="preserve">Hose Nozzle Protection: </w:t>
      </w:r>
      <w:r>
        <w:t>Do not use the pool's existing fill line. Wrap the ends of all fill hoses with clean rags and place them directly in the deep end where water has already pooled. Do not allow water to stream directly down dry plaster walls, and never wet down dry plaster, as this leaves permanent watermarks.</w:t>
      </w:r>
    </w:p>
    <w:p>
      <w:pPr>
        <w:pStyle w:val="ListBullet2"/>
        <w:spacing w:after="80"/>
      </w:pPr>
      <w:r>
        <w:rPr>
          <w:b/>
        </w:rPr>
        <w:t xml:space="preserve">Source Water Treatment: </w:t>
      </w:r>
      <w:r>
        <w:t>The source fill water must be tested before filling. If heavy metals or high calcium are present, the filling operator must utilize sequestering agents to prevent immediate staining.</w:t>
      </w:r>
    </w:p>
    <w:p>
      <w:pPr>
        <w:keepNext/>
        <w:spacing w:before="240" w:after="80"/>
      </w:pPr>
      <w:r>
        <w:rPr>
          <w:rFonts w:ascii="Calibri" w:hAnsi="Calibri"/>
          <w:b/>
          <w:color w:val="555555"/>
          <w:sz w:val="24"/>
        </w:rPr>
        <w:t>Brushing &amp; Filtration Phase (Homeowner or Designated Service Pro):</w:t>
      </w:r>
    </w:p>
    <w:p>
      <w:pPr>
        <w:pStyle w:val="ListBullet2"/>
        <w:spacing w:after="80"/>
      </w:pPr>
      <w:r>
        <w:rPr>
          <w:b/>
        </w:rPr>
        <w:t xml:space="preserve">Brushing: </w:t>
      </w:r>
      <w:r>
        <w:t>The pool walls and floor must be brushed several times a day. This is critical to prevent calcium carbonate precipitate ('plaster dust') from permanently adhering to the new plaster, lights, and pool fittings.</w:t>
      </w:r>
    </w:p>
    <w:p>
      <w:pPr>
        <w:pStyle w:val="ListBullet2"/>
        <w:spacing w:after="80"/>
      </w:pPr>
      <w:r>
        <w:rPr>
          <w:b/>
        </w:rPr>
        <w:t xml:space="preserve">Continuous Pump Run: </w:t>
      </w:r>
      <w:r>
        <w:t>The circulation pump must be run continuously (24/7) while the water is cloudy to safely filter out suspended plaster dust. The filter must be cleaned frequently as pressure rises.</w:t>
      </w:r>
    </w:p>
    <w:p>
      <w:pPr>
        <w:pStyle w:val="ListBullet2"/>
        <w:spacing w:after="80"/>
      </w:pPr>
      <w:r>
        <w:rPr>
          <w:b/>
        </w:rPr>
        <w:t xml:space="preserve">No Roller-Head Vacuums: </w:t>
      </w:r>
      <w:r>
        <w:t>To avoid leaving permanent wheel track marks on the soft, curing plaster, do not use roller-head vacuums. Brush-vacuum attachments are the only acceptable manual cleaning devices for the first 30 days.</w:t>
      </w:r>
    </w:p>
    <w:p>
      <w:pPr>
        <w:pStyle w:val="ListBullet2"/>
        <w:spacing w:after="80"/>
      </w:pPr>
      <w:r>
        <w:rPr>
          <w:b/>
        </w:rPr>
        <w:t xml:space="preserve">No Metal-Based Chemicals: </w:t>
      </w:r>
      <w:r>
        <w:t>Avoid adding any pool chemicals containing significant metal components (such as copper algaecides) until the plaster has fully cured to prevent immediate surface discoloration or staining.</w:t>
      </w:r>
    </w:p>
    <w:p>
      <w:pPr>
        <w:keepNext/>
        <w:spacing w:before="240" w:after="80"/>
      </w:pPr>
      <w:r>
        <w:rPr>
          <w:rFonts w:ascii="Calibri" w:hAnsi="Calibri"/>
          <w:b/>
          <w:color w:val="555555"/>
          <w:sz w:val="24"/>
        </w:rPr>
        <w:t>Water Chemistry Parameters (Must be Maintained Daily):</w:t>
      </w:r>
    </w:p>
    <w:p>
      <w:r>
        <w:t>The pool water must be balanced within the following ideal ranges to support a neutral Langelier Saturation Index (LSI) and avoid surface etching or scaling:</w:t>
      </w:r>
    </w:p>
    <w:tbl>
      <w:tblPr>
        <w:tblW w:type="auto" w:w="0"/>
        <w:jc w:val="center"/>
        <w:tblLayout w:type="fixed"/>
        <w:tblLook w:firstColumn="1" w:firstRow="1" w:lastColumn="0" w:lastRow="0" w:noHBand="0" w:noVBand="1" w:val="04A0"/>
      </w:tblPr>
      <w:tblGrid>
        <w:gridCol w:w="2340"/>
        <w:gridCol w:w="2340"/>
        <w:gridCol w:w="2340"/>
        <w:gridCol w:w="2340"/>
      </w:tblGrid>
      <w:tr>
        <w:tc>
          <w:tcPr>
            <w:tcW w:type="dxa" w:w="2880"/>
            <w:shd w:fill="003366" w:val="clear"/>
            <w:tcMar>
              <w:top w:w="100" w:type="dxa"/>
              <w:bottom w:w="100" w:type="dxa"/>
              <w:left w:w="150" w:type="dxa"/>
              <w:right w:w="150" w:type="dxa"/>
            </w:tcMar>
          </w:tcPr>
          <w:p>
            <w:r>
              <w:rPr>
                <w:b/>
                <w:color w:val="FFFFFF"/>
                <w:sz w:val="20"/>
              </w:rPr>
              <w:t>Chemical Parameter</w:t>
            </w:r>
          </w:p>
        </w:tc>
        <w:tc>
          <w:tcPr>
            <w:tcW w:type="dxa" w:w="2160"/>
            <w:shd w:fill="003366" w:val="clear"/>
            <w:tcMar>
              <w:top w:w="100" w:type="dxa"/>
              <w:bottom w:w="100" w:type="dxa"/>
              <w:left w:w="150" w:type="dxa"/>
              <w:right w:w="150" w:type="dxa"/>
            </w:tcMar>
          </w:tcPr>
          <w:p>
            <w:r>
              <w:rPr>
                <w:b/>
                <w:color w:val="FFFFFF"/>
                <w:sz w:val="20"/>
              </w:rPr>
              <w:t>Minimum</w:t>
            </w:r>
          </w:p>
        </w:tc>
        <w:tc>
          <w:tcPr>
            <w:tcW w:type="dxa" w:w="2160"/>
            <w:shd w:fill="003366" w:val="clear"/>
            <w:tcMar>
              <w:top w:w="100" w:type="dxa"/>
              <w:bottom w:w="100" w:type="dxa"/>
              <w:left w:w="150" w:type="dxa"/>
              <w:right w:w="150" w:type="dxa"/>
            </w:tcMar>
          </w:tcPr>
          <w:p>
            <w:r>
              <w:rPr>
                <w:b/>
                <w:color w:val="FFFFFF"/>
                <w:sz w:val="20"/>
              </w:rPr>
              <w:t>Ideal Range</w:t>
            </w:r>
          </w:p>
        </w:tc>
        <w:tc>
          <w:tcPr>
            <w:tcW w:type="dxa" w:w="2160"/>
            <w:shd w:fill="003366" w:val="clear"/>
            <w:tcMar>
              <w:top w:w="100" w:type="dxa"/>
              <w:bottom w:w="100" w:type="dxa"/>
              <w:left w:w="150" w:type="dxa"/>
              <w:right w:w="150" w:type="dxa"/>
            </w:tcMar>
          </w:tcPr>
          <w:p>
            <w:r>
              <w:rPr>
                <w:b/>
                <w:color w:val="FFFFFF"/>
                <w:sz w:val="20"/>
              </w:rPr>
              <w:t>Maximum</w:t>
            </w:r>
          </w:p>
        </w:tc>
      </w:tr>
      <w:tr>
        <w:tc>
          <w:tcPr>
            <w:tcW w:type="dxa" w:w="2880"/>
            <w:tcMar>
              <w:top w:w="100" w:type="dxa"/>
              <w:bottom w:w="100" w:type="dxa"/>
              <w:left w:w="150" w:type="dxa"/>
              <w:right w:w="150" w:type="dxa"/>
            </w:tcMar>
          </w:tcPr>
          <w:p>
            <w:pPr>
              <w:spacing w:before="80" w:after="80"/>
            </w:pPr>
            <w:r>
              <w:rPr>
                <w:b/>
                <w:sz w:val="19"/>
              </w:rPr>
              <w:t>pH Balance</w:t>
            </w:r>
          </w:p>
        </w:tc>
        <w:tc>
          <w:tcPr>
            <w:tcW w:type="dxa" w:w="2160"/>
            <w:tcMar>
              <w:top w:w="100" w:type="dxa"/>
              <w:bottom w:w="100" w:type="dxa"/>
              <w:left w:w="150" w:type="dxa"/>
              <w:right w:w="150" w:type="dxa"/>
            </w:tcMar>
          </w:tcPr>
          <w:p>
            <w:pPr>
              <w:spacing w:before="80" w:after="80"/>
            </w:pPr>
            <w:r>
              <w:rPr>
                <w:sz w:val="19"/>
              </w:rPr>
              <w:t>7.2</w:t>
            </w:r>
          </w:p>
        </w:tc>
        <w:tc>
          <w:tcPr>
            <w:tcW w:type="dxa" w:w="2160"/>
            <w:tcMar>
              <w:top w:w="100" w:type="dxa"/>
              <w:bottom w:w="100" w:type="dxa"/>
              <w:left w:w="150" w:type="dxa"/>
              <w:right w:w="150" w:type="dxa"/>
            </w:tcMar>
          </w:tcPr>
          <w:p>
            <w:pPr>
              <w:spacing w:before="80" w:after="80"/>
            </w:pPr>
            <w:r>
              <w:rPr>
                <w:sz w:val="19"/>
              </w:rPr>
              <w:t>7.4 to 7.6</w:t>
            </w:r>
          </w:p>
        </w:tc>
        <w:tc>
          <w:tcPr>
            <w:tcW w:type="dxa" w:w="2160"/>
            <w:tcMar>
              <w:top w:w="100" w:type="dxa"/>
              <w:bottom w:w="100" w:type="dxa"/>
              <w:left w:w="150" w:type="dxa"/>
              <w:right w:w="150" w:type="dxa"/>
            </w:tcMar>
          </w:tcPr>
          <w:p>
            <w:pPr>
              <w:spacing w:before="80" w:after="80"/>
            </w:pPr>
            <w:r>
              <w:rPr>
                <w:sz w:val="19"/>
              </w:rPr>
              <w:t>7.8</w:t>
            </w:r>
          </w:p>
        </w:tc>
      </w:tr>
      <w:tr>
        <w:tc>
          <w:tcPr>
            <w:tcW w:type="dxa" w:w="2880"/>
            <w:tcMar>
              <w:top w:w="100" w:type="dxa"/>
              <w:bottom w:w="100" w:type="dxa"/>
              <w:left w:w="150" w:type="dxa"/>
              <w:right w:w="150" w:type="dxa"/>
            </w:tcMar>
          </w:tcPr>
          <w:p>
            <w:pPr>
              <w:spacing w:before="80" w:after="80"/>
            </w:pPr>
            <w:r>
              <w:rPr>
                <w:b/>
                <w:sz w:val="19"/>
              </w:rPr>
              <w:t>Total Alkalinity</w:t>
            </w:r>
          </w:p>
        </w:tc>
        <w:tc>
          <w:tcPr>
            <w:tcW w:type="dxa" w:w="2160"/>
            <w:tcMar>
              <w:top w:w="100" w:type="dxa"/>
              <w:bottom w:w="100" w:type="dxa"/>
              <w:left w:w="150" w:type="dxa"/>
              <w:right w:w="150" w:type="dxa"/>
            </w:tcMar>
          </w:tcPr>
          <w:p>
            <w:pPr>
              <w:spacing w:before="80" w:after="80"/>
            </w:pPr>
            <w:r>
              <w:rPr>
                <w:sz w:val="19"/>
              </w:rPr>
              <w:t>60 ppm</w:t>
            </w:r>
          </w:p>
        </w:tc>
        <w:tc>
          <w:tcPr>
            <w:tcW w:type="dxa" w:w="2160"/>
            <w:tcMar>
              <w:top w:w="100" w:type="dxa"/>
              <w:bottom w:w="100" w:type="dxa"/>
              <w:left w:w="150" w:type="dxa"/>
              <w:right w:w="150" w:type="dxa"/>
            </w:tcMar>
          </w:tcPr>
          <w:p>
            <w:pPr>
              <w:spacing w:before="80" w:after="80"/>
            </w:pPr>
            <w:r>
              <w:rPr>
                <w:sz w:val="19"/>
              </w:rPr>
              <w:t>80 to 120 ppm</w:t>
            </w:r>
          </w:p>
        </w:tc>
        <w:tc>
          <w:tcPr>
            <w:tcW w:type="dxa" w:w="2160"/>
            <w:tcMar>
              <w:top w:w="100" w:type="dxa"/>
              <w:bottom w:w="100" w:type="dxa"/>
              <w:left w:w="150" w:type="dxa"/>
              <w:right w:w="150" w:type="dxa"/>
            </w:tcMar>
          </w:tcPr>
          <w:p>
            <w:pPr>
              <w:spacing w:before="80" w:after="80"/>
            </w:pPr>
            <w:r>
              <w:rPr>
                <w:sz w:val="19"/>
              </w:rPr>
              <w:t>180 ppm</w:t>
            </w:r>
          </w:p>
        </w:tc>
      </w:tr>
      <w:tr>
        <w:tc>
          <w:tcPr>
            <w:tcW w:type="dxa" w:w="2880"/>
            <w:tcMar>
              <w:top w:w="100" w:type="dxa"/>
              <w:bottom w:w="100" w:type="dxa"/>
              <w:left w:w="150" w:type="dxa"/>
              <w:right w:w="150" w:type="dxa"/>
            </w:tcMar>
          </w:tcPr>
          <w:p>
            <w:pPr>
              <w:spacing w:before="80" w:after="80"/>
            </w:pPr>
            <w:r>
              <w:rPr>
                <w:b/>
                <w:sz w:val="19"/>
              </w:rPr>
              <w:t>Calcium Hardness</w:t>
            </w:r>
          </w:p>
        </w:tc>
        <w:tc>
          <w:tcPr>
            <w:tcW w:type="dxa" w:w="2160"/>
            <w:tcMar>
              <w:top w:w="100" w:type="dxa"/>
              <w:bottom w:w="100" w:type="dxa"/>
              <w:left w:w="150" w:type="dxa"/>
              <w:right w:w="150" w:type="dxa"/>
            </w:tcMar>
          </w:tcPr>
          <w:p>
            <w:pPr>
              <w:spacing w:before="80" w:after="80"/>
            </w:pPr>
            <w:r>
              <w:rPr>
                <w:sz w:val="19"/>
              </w:rPr>
              <w:t>150 ppm (100 spa)</w:t>
            </w:r>
          </w:p>
        </w:tc>
        <w:tc>
          <w:tcPr>
            <w:tcW w:type="dxa" w:w="2160"/>
            <w:tcMar>
              <w:top w:w="100" w:type="dxa"/>
              <w:bottom w:w="100" w:type="dxa"/>
              <w:left w:w="150" w:type="dxa"/>
              <w:right w:w="150" w:type="dxa"/>
            </w:tcMar>
          </w:tcPr>
          <w:p>
            <w:pPr>
              <w:spacing w:before="80" w:after="80"/>
            </w:pPr>
            <w:r>
              <w:rPr>
                <w:sz w:val="19"/>
              </w:rPr>
              <w:t>200 to 400 ppm (150-250 spa)</w:t>
            </w:r>
          </w:p>
        </w:tc>
        <w:tc>
          <w:tcPr>
            <w:tcW w:type="dxa" w:w="2160"/>
            <w:tcMar>
              <w:top w:w="100" w:type="dxa"/>
              <w:bottom w:w="100" w:type="dxa"/>
              <w:left w:w="150" w:type="dxa"/>
              <w:right w:w="150" w:type="dxa"/>
            </w:tcMar>
          </w:tcPr>
          <w:p>
            <w:pPr>
              <w:spacing w:before="80" w:after="80"/>
            </w:pPr>
            <w:r>
              <w:rPr>
                <w:sz w:val="19"/>
              </w:rPr>
              <w:t>1000 ppm (800 spa)</w:t>
            </w:r>
          </w:p>
        </w:tc>
      </w:tr>
    </w:tbl>
    <w:p>
      <w:pPr>
        <w:spacing w:after="120"/>
      </w:pPr>
    </w:p>
    <w:p>
      <w:pPr>
        <w:keepNext/>
        <w:spacing w:before="360" w:after="120"/>
        <w:pBdr>
          <w:bottom w:val="single" w:sz="6" w:space="1" w:color="003366"/>
        </w:pBdr>
      </w:pPr>
      <w:r>
        <w:rPr>
          <w:rFonts w:ascii="Calibri" w:hAnsi="Calibri"/>
          <w:b/>
          <w:color w:val="003366"/>
          <w:sz w:val="28"/>
        </w:rPr>
        <w:t>8. Warranties, Exclusions, and Contractor Disputes</w:t>
      </w:r>
    </w:p>
    <w:p>
      <w:r>
        <w:t>Workmanship disputes and warranty coverage are governed by the following strict provisions:</w:t>
      </w:r>
    </w:p>
    <w:p>
      <w:pPr>
        <w:pStyle w:val="ListBullet"/>
        <w:spacing w:after="80"/>
      </w:pPr>
      <w:r>
        <w:rPr>
          <w:b/>
        </w:rPr>
        <w:t xml:space="preserve">Default 12-Month Warranty: </w:t>
      </w:r>
      <w:r>
        <w:t>If no specific warranty duration is stated in the core contract, a default warranty period of 12 months following substantial completion applies to all labor and workmanship.</w:t>
      </w:r>
    </w:p>
    <w:p>
      <w:pPr>
        <w:pStyle w:val="ListBullet"/>
        <w:spacing w:after="80"/>
      </w:pPr>
      <w:r>
        <w:rPr>
          <w:b/>
        </w:rPr>
        <w:t xml:space="preserve">Substantial Completion Trigger: </w:t>
      </w:r>
      <w:r>
        <w:t>The warranty window begins on the exact date of substantial completion, defined as the date the pool is completely filled with water and all circulation and sanitation equipment is fully operational. Warranty periods are non-cumulative.</w:t>
      </w:r>
    </w:p>
    <w:p>
      <w:pPr>
        <w:pStyle w:val="ListBullet"/>
        <w:spacing w:after="80"/>
      </w:pPr>
      <w:r>
        <w:rPr>
          <w:b/>
        </w:rPr>
        <w:t xml:space="preserve">Dispute Response Timeline: </w:t>
      </w:r>
      <w:r>
        <w:t>If the owner submits a written workmanship complaint, the builder must respond within 14 days and has the legal Right to Repair. The owner must not impede or deny the builder's access to the property to perform remedial work.</w:t>
      </w:r>
    </w:p>
    <w:p>
      <w:pPr>
        <w:pStyle w:val="ListBullet"/>
        <w:spacing w:after="80"/>
      </w:pPr>
      <w:r>
        <w:rPr>
          <w:b/>
        </w:rPr>
        <w:t xml:space="preserve">Owner Delay Penalty: </w:t>
      </w:r>
      <w:r>
        <w:t>The owner must notify the builder promptly upon discovering a deficiency. Delay in notification that leads to progressive damage can legally transfer the financial and physical burden of corrective action from the builder to the owner.</w:t>
      </w:r>
    </w:p>
    <w:p>
      <w:pPr>
        <w:pStyle w:val="ListBullet"/>
        <w:spacing w:after="80"/>
      </w:pPr>
      <w:r>
        <w:rPr>
          <w:b/>
        </w:rPr>
        <w:t xml:space="preserve">Standard Warranty Exclusions: </w:t>
      </w:r>
      <w:r>
        <w:t>The contractor's warranty specifically excludes:</w:t>
      </w:r>
    </w:p>
    <w:p>
      <w:pPr>
        <w:pStyle w:val="ListBullet2"/>
        <w:spacing w:after="80"/>
      </w:pPr>
      <w:r>
        <w:rPr>
          <w:b/>
        </w:rPr>
        <w:t xml:space="preserve">• Third-Party Materials: </w:t>
      </w:r>
      <w:r>
        <w:t>Defects in or damage caused by materials or work supplied by others.</w:t>
      </w:r>
    </w:p>
    <w:p>
      <w:pPr>
        <w:pStyle w:val="ListBullet2"/>
        <w:spacing w:after="80"/>
      </w:pPr>
      <w:r>
        <w:rPr>
          <w:b/>
        </w:rPr>
        <w:t xml:space="preserve">• Maintenance Neglect: </w:t>
      </w:r>
      <w:r>
        <w:t>Plaster etching, staining, or scaling caused by improper chemical balance, incorrect LSI, lack of daily brushing, or debris left in the pool by the owner.</w:t>
      </w:r>
    </w:p>
    <w:p>
      <w:pPr>
        <w:pStyle w:val="ListBullet2"/>
        <w:spacing w:after="80"/>
      </w:pPr>
      <w:r>
        <w:rPr>
          <w:b/>
        </w:rPr>
        <w:t xml:space="preserve">• Drainage and Grading: </w:t>
      </w:r>
      <w:r>
        <w:t>Damage to pool structure, deck cracking, or loose tiles caused by soil movement from the owner's failure to maintain proper site drainage and grading away from the pool shell.</w:t>
      </w:r>
    </w:p>
    <w:p>
      <w:pPr>
        <w:pStyle w:val="ListBullet2"/>
        <w:spacing w:after="80"/>
      </w:pPr>
      <w:r>
        <w:rPr>
          <w:b/>
        </w:rPr>
        <w:t xml:space="preserve">• Temperature Abuse: </w:t>
      </w:r>
      <w:r>
        <w:t>Operating any pool or spa water at temperatures exceeding 104°F (40°C).</w:t>
      </w:r>
    </w:p>
    <w:p>
      <w:pPr>
        <w:pStyle w:val="ListBullet2"/>
        <w:spacing w:after="80"/>
      </w:pPr>
      <w:r>
        <w:rPr>
          <w:b/>
        </w:rPr>
        <w:t xml:space="preserve">• Acts of God &amp; Natural Events: </w:t>
      </w:r>
      <w:r>
        <w:t>Unforeseeable water table shifts, earthquakes, floods, lightning, or other acts of God.</w:t>
      </w:r>
    </w:p>
    <w:p>
      <w:pPr>
        <w:spacing w:after="240"/>
      </w:pPr>
    </w:p>
    <w:p>
      <w:pPr>
        <w:keepNext/>
      </w:pPr>
      <w:r>
        <w:rPr>
          <w:b/>
        </w:rPr>
        <w:t>BY SIGNING BELOW, both parties agree to the scope of work, technical tolerances, and startup responsibilities detailed in this SOW exhibit.</w:t>
      </w:r>
    </w:p>
    <w:tbl>
      <w:tblPr>
        <w:tblW w:type="auto" w:w="0"/>
        <w:jc w:val="center"/>
        <w:tblLayout w:type="fixed"/>
        <w:tblLook w:firstColumn="1" w:firstRow="1" w:lastColumn="0" w:lastRow="0" w:noHBand="0" w:noVBand="1" w:val="04A0"/>
      </w:tblPr>
      <w:tblGrid>
        <w:gridCol w:w="4680"/>
        <w:gridCol w:w="4680"/>
      </w:tblGrid>
      <w:tr>
        <w:tc>
          <w:tcPr>
            <w:tcW w:type="dxa" w:w="4608"/>
            <w:tcMar>
              <w:top w:w="100" w:type="dxa"/>
              <w:bottom w:w="100" w:type="dxa"/>
              <w:left w:w="100" w:type="dxa"/>
              <w:right w:w="100" w:type="dxa"/>
            </w:tcMar>
          </w:tcPr>
          <w:p>
            <w:r>
              <w:t>PROPERTY OWNER:</w:t>
              <w:br/>
              <w:br/>
              <w:t>_____________________________</w:t>
              <w:br/>
              <w:t>Signature</w:t>
              <w:br/>
              <w:br/>
              <w:t>Date: ________________________</w:t>
            </w:r>
          </w:p>
        </w:tc>
        <w:tc>
          <w:tcPr>
            <w:tcW w:type="dxa" w:w="4608"/>
            <w:tcMar>
              <w:top w:w="100" w:type="dxa"/>
              <w:bottom w:w="100" w:type="dxa"/>
              <w:left w:w="100" w:type="dxa"/>
              <w:right w:w="100" w:type="dxa"/>
            </w:tcMar>
          </w:tcPr>
          <w:p>
            <w:r>
              <w:t>CONTRACTOR REPRESENTATIVE:</w:t>
              <w:br/>
              <w:br/>
              <w:t>_____________________________</w:t>
              <w:br/>
              <w:t>Signature</w:t>
              <w:br/>
              <w:br/>
              <w:t>Date: ________________________</w:t>
            </w:r>
          </w:p>
        </w:tc>
      </w:tr>
      <w:tr>
        <w:tc>
          <w:tcPr>
            <w:tcW w:type="dxa" w:w="4608"/>
            <w:tcMar>
              <w:top w:w="100" w:type="dxa"/>
              <w:bottom w:w="100" w:type="dxa"/>
              <w:left w:w="100" w:type="dxa"/>
              <w:right w:w="100" w:type="dxa"/>
            </w:tcMar>
          </w:tcPr>
          <w:p>
            <w:r>
              <w:t>Printed Name: _________________</w:t>
            </w:r>
          </w:p>
        </w:tc>
        <w:tc>
          <w:tcPr>
            <w:tcW w:type="dxa" w:w="4608"/>
            <w:tcMar>
              <w:top w:w="100" w:type="dxa"/>
              <w:bottom w:w="100" w:type="dxa"/>
              <w:left w:w="100" w:type="dxa"/>
              <w:right w:w="100" w:type="dxa"/>
            </w:tcMar>
          </w:tcPr>
          <w:p>
            <w:r>
              <w:t>Printed Name &amp; Title: ___________</w:t>
            </w:r>
          </w:p>
        </w:tc>
      </w:tr>
      <w:tr>
        <w:tc>
          <w:tcPr>
            <w:tcW w:type="dxa" w:w="4608"/>
            <w:tcMar>
              <w:top w:w="100" w:type="dxa"/>
              <w:bottom w:w="100" w:type="dxa"/>
              <w:left w:w="100" w:type="dxa"/>
              <w:right w:w="100" w:type="dxa"/>
            </w:tcMar>
          </w:tcPr>
          <w:p/>
        </w:tc>
        <w:tc>
          <w:tcPr>
            <w:tcW w:type="dxa" w:w="4608"/>
            <w:tcMar>
              <w:top w:w="100" w:type="dxa"/>
              <w:bottom w:w="100" w:type="dxa"/>
              <w:left w:w="100" w:type="dxa"/>
              <w:right w:w="100" w:type="dxa"/>
            </w:tcMar>
          </w:tcPr>
          <w:p/>
        </w:tc>
      </w:tr>
    </w:tbl>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777777"/>
        <w:sz w:val="17"/>
      </w:rPr>
      <w:t xml:space="preserve">Based on APSP standard guidelines. Fillable fields marked with [ ].  |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777777"/>
        <w:sz w:val="17"/>
      </w:rPr>
      <w:t>OCALA RESURFACING PROJECT  |  SCOPE OF WORK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